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beforeLines="-2147483648" w:afterLines="-2147483648" w:line="540" w:lineRule="exact"/>
        <w:textAlignment w:val="auto"/>
        <w:rPr>
          <w:rFonts w:hint="eastAsia" w:ascii="仿宋" w:hAnsi="仿宋" w:eastAsia="黑体" w:cs="Times New Roman"/>
          <w:color w:val="auto"/>
          <w:sz w:val="32"/>
          <w:szCs w:val="24"/>
          <w:lang w:val="en-US" w:eastAsia="zh-CN" w:bidi="ar-SA"/>
        </w:rPr>
      </w:pPr>
      <w:bookmarkStart w:id="0" w:name="_GoBack"/>
      <w:r>
        <w:rPr>
          <w:rFonts w:hint="eastAsia" w:ascii="黑体" w:hAnsi="黑体" w:eastAsia="黑体" w:cs="仿宋"/>
          <w:color w:val="auto"/>
          <w:sz w:val="32"/>
          <w:szCs w:val="32"/>
          <w:lang w:bidi="ar-SA"/>
        </w:rPr>
        <w:t>附件</w:t>
      </w:r>
      <w:r>
        <w:rPr>
          <w:rFonts w:hint="eastAsia" w:ascii="黑体" w:hAnsi="黑体" w:eastAsia="黑体" w:cs="仿宋"/>
          <w:color w:val="auto"/>
          <w:sz w:val="32"/>
          <w:szCs w:val="32"/>
          <w:lang w:val="en-US" w:eastAsia="zh-CN" w:bidi="ar-SA"/>
        </w:rPr>
        <w:t>3</w:t>
      </w:r>
    </w:p>
    <w:p>
      <w:pPr>
        <w:keepNext w:val="0"/>
        <w:keepLines w:val="0"/>
        <w:pageBreakBefore w:val="0"/>
        <w:kinsoku/>
        <w:wordWrap/>
        <w:overflowPunct/>
        <w:topLinePunct w:val="0"/>
        <w:autoSpaceDE/>
        <w:autoSpaceDN/>
        <w:bidi w:val="0"/>
        <w:spacing w:beforeLines="-2147483648" w:afterLines="-2147483648" w:line="540" w:lineRule="exact"/>
        <w:jc w:val="center"/>
        <w:textAlignment w:val="auto"/>
        <w:rPr>
          <w:rFonts w:hint="eastAsia" w:ascii="Calibri" w:hAnsi="Calibri" w:eastAsia="宋体" w:cs="Times New Roman"/>
          <w:color w:val="auto"/>
          <w:sz w:val="8"/>
          <w:szCs w:val="4"/>
        </w:rPr>
      </w:pPr>
      <w:r>
        <w:rPr>
          <w:rFonts w:hint="eastAsia" w:ascii="方正小标宋简体" w:hAnsi="仿宋" w:eastAsia="方正小标宋简体" w:cs="仿宋"/>
          <w:color w:val="auto"/>
          <w:sz w:val="44"/>
          <w:szCs w:val="44"/>
          <w:lang w:bidi="ar-SA"/>
        </w:rPr>
        <w:t>关于部分检验项目的说明</w:t>
      </w:r>
    </w:p>
    <w:p>
      <w:pPr>
        <w:keepNext w:val="0"/>
        <w:keepLines w:val="0"/>
        <w:widowControl/>
        <w:suppressLineNumbers w:val="0"/>
        <w:wordWrap w:val="0"/>
        <w:jc w:val="left"/>
        <w:rPr>
          <w:rFonts w:hint="eastAsia" w:ascii="仿宋_GB2312" w:hAnsi="仿宋_GB2312" w:eastAsia="仿宋_GB2312" w:cs="Times New Roman"/>
          <w:color w:val="auto"/>
          <w:w w:val="98"/>
          <w:kern w:val="2"/>
          <w:sz w:val="32"/>
          <w:szCs w:val="20"/>
          <w:lang w:val="en-US" w:eastAsia="zh-CN" w:bidi="ar-SA"/>
        </w:rPr>
      </w:pPr>
    </w:p>
    <w:p>
      <w:pPr>
        <w:pStyle w:val="6"/>
        <w:keepNext w:val="0"/>
        <w:keepLines w:val="0"/>
        <w:pageBreakBefore w:val="0"/>
        <w:kinsoku/>
        <w:wordWrap/>
        <w:overflowPunct/>
        <w:topLinePunct w:val="0"/>
        <w:autoSpaceDE/>
        <w:autoSpaceDN/>
        <w:bidi w:val="0"/>
        <w:spacing w:line="540" w:lineRule="exact"/>
        <w:ind w:left="0" w:leftChars="0" w:firstLine="641" w:firstLineChars="204"/>
        <w:textAlignment w:val="auto"/>
        <w:rPr>
          <w:rFonts w:hint="default" w:ascii="仿宋_GB2312" w:hAnsi="仿宋_GB2312" w:eastAsia="仿宋_GB2312" w:cs="Times New Roman"/>
          <w:b/>
          <w:bCs/>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（一）</w:t>
      </w:r>
      <w:r>
        <w:rPr>
          <w:rFonts w:hint="default" w:ascii="仿宋_GB2312" w:hAnsi="仿宋_GB2312" w:eastAsia="仿宋_GB2312" w:cs="Times New Roman"/>
          <w:b/>
          <w:bCs/>
          <w:color w:val="auto"/>
          <w:w w:val="98"/>
          <w:kern w:val="2"/>
          <w:sz w:val="32"/>
          <w:szCs w:val="20"/>
          <w:lang w:val="en-US" w:eastAsia="zh-CN" w:bidi="ar-SA"/>
        </w:rPr>
        <w:t>氟苯尼考</w:t>
      </w:r>
    </w:p>
    <w:p>
      <w:pPr>
        <w:keepNext w:val="0"/>
        <w:keepLines w:val="0"/>
        <w:widowControl/>
        <w:suppressLineNumbers w:val="0"/>
        <w:wordWrap w:val="0"/>
        <w:ind w:left="0" w:firstLine="626" w:firstLineChars="200"/>
        <w:jc w:val="left"/>
        <w:rPr>
          <w:rFonts w:hint="default" w:ascii="仿宋_GB2312" w:hAnsi="仿宋_GB2312" w:eastAsia="仿宋_GB2312" w:cs="Times New Roman"/>
          <w:color w:val="auto"/>
          <w:w w:val="98"/>
          <w:kern w:val="2"/>
          <w:sz w:val="32"/>
          <w:szCs w:val="20"/>
          <w:lang w:val="en-US" w:eastAsia="zh-CN" w:bidi="ar-SA"/>
        </w:rPr>
      </w:pPr>
      <w:r>
        <w:rPr>
          <w:rFonts w:hint="default" w:ascii="仿宋_GB2312" w:hAnsi="仿宋_GB2312" w:eastAsia="仿宋_GB2312" w:cs="Times New Roman"/>
          <w:color w:val="auto"/>
          <w:w w:val="98"/>
          <w:kern w:val="2"/>
          <w:sz w:val="32"/>
          <w:szCs w:val="20"/>
          <w:lang w:val="en-US" w:eastAsia="zh-CN" w:bidi="ar-SA"/>
        </w:rPr>
        <w:t>氟苯尼考又称氟甲砜霉素，是一种兽医专用酰胺醇类广谱抗菌药，主要用于敏感细菌所致的猪、鸡、鱼的细菌性疾病。长期食用检出氟苯尼考的食品，对人体健康有一定</w:t>
      </w:r>
      <w:r>
        <w:rPr>
          <w:rFonts w:hint="eastAsia" w:ascii="仿宋_GB2312" w:hAnsi="仿宋_GB2312" w:eastAsia="仿宋_GB2312" w:cs="Times New Roman"/>
          <w:color w:val="auto"/>
          <w:w w:val="98"/>
          <w:kern w:val="2"/>
          <w:sz w:val="32"/>
          <w:szCs w:val="20"/>
          <w:lang w:val="en-US" w:eastAsia="zh-CN" w:bidi="ar-SA"/>
        </w:rPr>
        <w:t>影响</w:t>
      </w:r>
      <w:r>
        <w:rPr>
          <w:rFonts w:hint="default" w:ascii="仿宋_GB2312" w:hAnsi="仿宋_GB2312" w:eastAsia="仿宋_GB2312" w:cs="Times New Roman"/>
          <w:color w:val="auto"/>
          <w:w w:val="98"/>
          <w:kern w:val="2"/>
          <w:sz w:val="32"/>
          <w:szCs w:val="20"/>
          <w:lang w:val="en-US" w:eastAsia="zh-CN" w:bidi="ar-SA"/>
        </w:rPr>
        <w:t>。《食品安全国家标准 食品中兽药最大残留限量》（GB 31650-2019）中规定，氟苯尼考在水产品贝类中最大限量为100μg/kg。贝类中检出氟苯尼考的原因，可能是养殖户在养殖过程中违规使用相关兽药</w:t>
      </w:r>
      <w:r>
        <w:rPr>
          <w:rFonts w:hint="eastAsia" w:ascii="仿宋_GB2312" w:hAnsi="仿宋_GB2312" w:eastAsia="仿宋_GB2312" w:cs="Times New Roman"/>
          <w:color w:val="auto"/>
          <w:w w:val="98"/>
          <w:kern w:val="2"/>
          <w:sz w:val="32"/>
          <w:szCs w:val="20"/>
          <w:lang w:val="en-US" w:eastAsia="zh-CN" w:bidi="ar-SA"/>
        </w:rPr>
        <w:t>。</w:t>
      </w:r>
    </w:p>
    <w:p>
      <w:pPr>
        <w:pStyle w:val="6"/>
        <w:keepNext w:val="0"/>
        <w:keepLines w:val="0"/>
        <w:pageBreakBefore w:val="0"/>
        <w:kinsoku/>
        <w:wordWrap/>
        <w:overflowPunct/>
        <w:topLinePunct w:val="0"/>
        <w:autoSpaceDE/>
        <w:autoSpaceDN/>
        <w:bidi w:val="0"/>
        <w:spacing w:line="540" w:lineRule="exact"/>
        <w:ind w:left="0" w:leftChars="0" w:firstLine="641" w:firstLineChars="204"/>
        <w:textAlignment w:val="auto"/>
        <w:rPr>
          <w:rFonts w:hint="default" w:ascii="仿宋_GB2312" w:hAnsi="仿宋_GB2312" w:eastAsia="仿宋_GB2312" w:cs="Times New Roman"/>
          <w:b/>
          <w:bCs/>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（二）恩诺沙星</w:t>
      </w:r>
    </w:p>
    <w:p>
      <w:pPr>
        <w:keepNext w:val="0"/>
        <w:keepLines w:val="0"/>
        <w:widowControl/>
        <w:suppressLineNumbers w:val="0"/>
        <w:wordWrap w:val="0"/>
        <w:ind w:firstLine="626" w:firstLineChars="200"/>
        <w:jc w:val="left"/>
        <w:rPr>
          <w:rFonts w:hint="default" w:ascii="仿宋_GB2312" w:hAnsi="仿宋_GB2312" w:eastAsia="仿宋_GB2312" w:cs="Times New Roman"/>
          <w:color w:val="auto"/>
          <w:w w:val="98"/>
          <w:kern w:val="2"/>
          <w:sz w:val="32"/>
          <w:szCs w:val="20"/>
          <w:lang w:val="en-US" w:eastAsia="zh-CN" w:bidi="ar-SA"/>
        </w:rPr>
      </w:pPr>
      <w:r>
        <w:rPr>
          <w:rFonts w:hint="default" w:ascii="仿宋_GB2312" w:hAnsi="仿宋_GB2312" w:eastAsia="仿宋_GB2312" w:cs="Times New Roman"/>
          <w:color w:val="auto"/>
          <w:w w:val="98"/>
          <w:kern w:val="2"/>
          <w:sz w:val="32"/>
          <w:szCs w:val="20"/>
          <w:lang w:val="en-US" w:eastAsia="zh-CN" w:bidi="ar-SA"/>
        </w:rPr>
        <w:t>恩诺沙星属于氟喹诺酮类药物，是一类人工合成的广谱抗菌药，用于治疗动物的皮肤感染、呼吸道感染等，是动物专属用药。长期食用恩诺沙星超标的食品，对人体健康可能有一定</w:t>
      </w:r>
      <w:r>
        <w:rPr>
          <w:rFonts w:hint="eastAsia" w:ascii="仿宋_GB2312" w:hAnsi="仿宋_GB2312" w:eastAsia="仿宋_GB2312" w:cs="Times New Roman"/>
          <w:color w:val="auto"/>
          <w:w w:val="98"/>
          <w:kern w:val="2"/>
          <w:sz w:val="32"/>
          <w:szCs w:val="20"/>
          <w:lang w:val="en-US" w:eastAsia="zh-CN" w:bidi="ar-SA"/>
        </w:rPr>
        <w:t>影响</w:t>
      </w:r>
      <w:r>
        <w:rPr>
          <w:rFonts w:hint="default" w:ascii="仿宋_GB2312" w:hAnsi="仿宋_GB2312" w:eastAsia="仿宋_GB2312" w:cs="Times New Roman"/>
          <w:color w:val="auto"/>
          <w:w w:val="98"/>
          <w:kern w:val="2"/>
          <w:sz w:val="32"/>
          <w:szCs w:val="20"/>
          <w:lang w:val="en-US" w:eastAsia="zh-CN" w:bidi="ar-SA"/>
        </w:rPr>
        <w:t>。《食品安全国家标准 食品中兽药最大残留限量》（GB 31650—2019）中规定，恩诺沙星在</w:t>
      </w:r>
      <w:r>
        <w:rPr>
          <w:rFonts w:hint="eastAsia" w:ascii="仿宋_GB2312" w:hAnsi="仿宋_GB2312" w:eastAsia="仿宋_GB2312" w:cs="Times New Roman"/>
          <w:color w:val="auto"/>
          <w:w w:val="98"/>
          <w:kern w:val="2"/>
          <w:sz w:val="32"/>
          <w:szCs w:val="20"/>
          <w:lang w:val="en-US" w:eastAsia="zh-CN" w:bidi="ar-SA"/>
        </w:rPr>
        <w:t>淡水鱼和贝类</w:t>
      </w:r>
      <w:r>
        <w:rPr>
          <w:rFonts w:hint="default" w:ascii="仿宋_GB2312" w:hAnsi="仿宋_GB2312" w:eastAsia="仿宋_GB2312" w:cs="Times New Roman"/>
          <w:color w:val="auto"/>
          <w:w w:val="98"/>
          <w:kern w:val="2"/>
          <w:sz w:val="32"/>
          <w:szCs w:val="20"/>
          <w:lang w:val="en-US" w:eastAsia="zh-CN" w:bidi="ar-SA"/>
        </w:rPr>
        <w:t>中的最大残留限量值</w:t>
      </w:r>
      <w:r>
        <w:rPr>
          <w:rFonts w:hint="eastAsia" w:ascii="仿宋_GB2312" w:hAnsi="仿宋_GB2312" w:eastAsia="仿宋_GB2312" w:cs="Times New Roman"/>
          <w:color w:val="auto"/>
          <w:w w:val="98"/>
          <w:kern w:val="2"/>
          <w:sz w:val="32"/>
          <w:szCs w:val="20"/>
          <w:lang w:val="en-US" w:eastAsia="zh-CN" w:bidi="ar-SA"/>
        </w:rPr>
        <w:t>都</w:t>
      </w:r>
      <w:r>
        <w:rPr>
          <w:rFonts w:hint="default" w:ascii="仿宋_GB2312" w:hAnsi="仿宋_GB2312" w:eastAsia="仿宋_GB2312" w:cs="Times New Roman"/>
          <w:color w:val="auto"/>
          <w:w w:val="98"/>
          <w:kern w:val="2"/>
          <w:sz w:val="32"/>
          <w:szCs w:val="20"/>
          <w:lang w:val="en-US" w:eastAsia="zh-CN" w:bidi="ar-SA"/>
        </w:rPr>
        <w:t>为100μg/kg。</w:t>
      </w:r>
      <w:r>
        <w:rPr>
          <w:rFonts w:hint="eastAsia" w:ascii="仿宋_GB2312" w:hAnsi="仿宋_GB2312" w:eastAsia="仿宋_GB2312" w:cs="Times New Roman"/>
          <w:color w:val="auto"/>
          <w:w w:val="98"/>
          <w:kern w:val="2"/>
          <w:sz w:val="32"/>
          <w:szCs w:val="20"/>
          <w:lang w:val="en-US" w:eastAsia="zh-CN" w:bidi="ar-SA"/>
        </w:rPr>
        <w:t>淡水鱼及贝类</w:t>
      </w:r>
      <w:r>
        <w:rPr>
          <w:rFonts w:hint="default" w:ascii="仿宋_GB2312" w:hAnsi="仿宋_GB2312" w:eastAsia="仿宋_GB2312" w:cs="Times New Roman"/>
          <w:color w:val="auto"/>
          <w:w w:val="98"/>
          <w:kern w:val="2"/>
          <w:sz w:val="32"/>
          <w:szCs w:val="20"/>
          <w:lang w:val="en-US" w:eastAsia="zh-CN" w:bidi="ar-SA"/>
        </w:rPr>
        <w:t>中恩诺沙星超标的原因，可能是在养殖过程中为快速控制疫病，违规加大用药量或不遵守休药期规定，致使产品上市销售时的药物残留量超标。</w:t>
      </w:r>
    </w:p>
    <w:p>
      <w:pPr>
        <w:pStyle w:val="6"/>
        <w:keepNext w:val="0"/>
        <w:keepLines w:val="0"/>
        <w:pageBreakBefore w:val="0"/>
        <w:kinsoku/>
        <w:wordWrap/>
        <w:overflowPunct/>
        <w:topLinePunct w:val="0"/>
        <w:autoSpaceDE/>
        <w:autoSpaceDN/>
        <w:bidi w:val="0"/>
        <w:spacing w:line="540" w:lineRule="exact"/>
        <w:textAlignment w:val="auto"/>
        <w:rPr>
          <w:rFonts w:hint="eastAsia" w:ascii="仿宋_GB2312" w:hAnsi="仿宋_GB2312" w:eastAsia="仿宋_GB2312" w:cs="Times New Roman"/>
          <w:b/>
          <w:bCs/>
          <w:color w:val="auto"/>
          <w:w w:val="98"/>
          <w:kern w:val="2"/>
          <w:sz w:val="32"/>
          <w:szCs w:val="20"/>
          <w:lang w:val="en-US" w:eastAsia="zh-CN" w:bidi="ar-SA"/>
        </w:rPr>
      </w:pPr>
    </w:p>
    <w:p>
      <w:pPr>
        <w:pStyle w:val="6"/>
        <w:keepNext w:val="0"/>
        <w:keepLines w:val="0"/>
        <w:pageBreakBefore w:val="0"/>
        <w:kinsoku/>
        <w:wordWrap/>
        <w:overflowPunct/>
        <w:topLinePunct w:val="0"/>
        <w:autoSpaceDE/>
        <w:autoSpaceDN/>
        <w:bidi w:val="0"/>
        <w:spacing w:line="540" w:lineRule="exact"/>
        <w:ind w:left="0" w:leftChars="0" w:firstLine="641" w:firstLineChars="204"/>
        <w:textAlignment w:val="auto"/>
        <w:rPr>
          <w:rFonts w:hint="default" w:ascii="仿宋_GB2312" w:hAnsi="仿宋_GB2312" w:eastAsia="仿宋_GB2312" w:cs="Times New Roman"/>
          <w:b/>
          <w:bCs/>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（三）</w:t>
      </w:r>
      <w:r>
        <w:rPr>
          <w:rFonts w:hint="default" w:ascii="仿宋_GB2312" w:hAnsi="仿宋_GB2312" w:eastAsia="仿宋_GB2312" w:cs="Times New Roman"/>
          <w:b/>
          <w:bCs/>
          <w:color w:val="auto"/>
          <w:w w:val="98"/>
          <w:kern w:val="2"/>
          <w:sz w:val="32"/>
          <w:szCs w:val="20"/>
          <w:lang w:val="en-US" w:eastAsia="zh-CN" w:bidi="ar-SA"/>
        </w:rPr>
        <w:t>镉（以Cd计）</w:t>
      </w:r>
    </w:p>
    <w:p>
      <w:pPr>
        <w:keepNext w:val="0"/>
        <w:keepLines w:val="0"/>
        <w:widowControl/>
        <w:suppressLineNumbers w:val="0"/>
        <w:wordWrap w:val="0"/>
        <w:ind w:left="0" w:firstLine="626" w:firstLineChars="200"/>
        <w:jc w:val="left"/>
        <w:rPr>
          <w:rFonts w:hint="eastAsia" w:ascii="仿宋_GB2312" w:hAnsi="仿宋_GB2312" w:eastAsia="仿宋_GB2312" w:cs="Times New Roman"/>
          <w:b/>
          <w:bCs/>
          <w:color w:val="auto"/>
          <w:w w:val="98"/>
          <w:kern w:val="2"/>
          <w:sz w:val="32"/>
          <w:szCs w:val="20"/>
          <w:lang w:val="en-US" w:eastAsia="zh-CN" w:bidi="ar-SA"/>
        </w:rPr>
      </w:pPr>
      <w:r>
        <w:rPr>
          <w:rFonts w:hint="default" w:ascii="仿宋_GB2312" w:hAnsi="仿宋_GB2312" w:eastAsia="仿宋_GB2312" w:cs="Times New Roman"/>
          <w:color w:val="auto"/>
          <w:w w:val="98"/>
          <w:kern w:val="2"/>
          <w:sz w:val="32"/>
          <w:szCs w:val="20"/>
          <w:lang w:val="en-US" w:eastAsia="zh-CN" w:bidi="ar-SA"/>
        </w:rPr>
        <w:t>镉（以Cd计）是一种蓄积性的重金属元素。长期食用镉（以Cd计）超标的食品，对人体健康有一定影响。《食品安全国家标准 食品中污染物限量》（GB 2762—2017）中规定：镉（以Cd计）在鲜、冻水产动物（甲壳类）中的中的最大残留限量为0.5mg/kg。水产动物产品主要有海水蟹</w:t>
      </w:r>
      <w:r>
        <w:rPr>
          <w:rFonts w:hint="eastAsia" w:ascii="仿宋_GB2312" w:hAnsi="仿宋_GB2312" w:eastAsia="仿宋_GB2312" w:cs="Times New Roman"/>
          <w:color w:val="auto"/>
          <w:w w:val="98"/>
          <w:kern w:val="2"/>
          <w:sz w:val="32"/>
          <w:szCs w:val="20"/>
          <w:lang w:val="en-US" w:eastAsia="zh-CN" w:bidi="ar-SA"/>
        </w:rPr>
        <w:t>中</w:t>
      </w:r>
      <w:r>
        <w:rPr>
          <w:rFonts w:hint="default" w:ascii="仿宋_GB2312" w:hAnsi="仿宋_GB2312" w:eastAsia="仿宋_GB2312" w:cs="Times New Roman"/>
          <w:color w:val="auto"/>
          <w:w w:val="98"/>
          <w:kern w:val="2"/>
          <w:sz w:val="32"/>
          <w:szCs w:val="20"/>
          <w:lang w:val="en-US" w:eastAsia="zh-CN" w:bidi="ar-SA"/>
        </w:rPr>
        <w:t>镉超标的原因，可能是其生长过程中富集环境中的镉元素所致。</w:t>
      </w:r>
    </w:p>
    <w:p>
      <w:pPr>
        <w:pStyle w:val="6"/>
        <w:keepNext w:val="0"/>
        <w:keepLines w:val="0"/>
        <w:pageBreakBefore w:val="0"/>
        <w:kinsoku/>
        <w:wordWrap/>
        <w:overflowPunct/>
        <w:topLinePunct w:val="0"/>
        <w:autoSpaceDE/>
        <w:autoSpaceDN/>
        <w:bidi w:val="0"/>
        <w:spacing w:line="540" w:lineRule="exact"/>
        <w:ind w:left="0" w:leftChars="0" w:firstLine="641" w:firstLineChars="204"/>
        <w:textAlignment w:val="auto"/>
        <w:rPr>
          <w:rFonts w:hint="default" w:ascii="仿宋_GB2312" w:hAnsi="仿宋_GB2312" w:eastAsia="仿宋_GB2312" w:cs="Times New Roman"/>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（四）噻虫胺</w:t>
      </w:r>
    </w:p>
    <w:p>
      <w:pPr>
        <w:keepNext w:val="0"/>
        <w:keepLines w:val="0"/>
        <w:widowControl/>
        <w:suppressLineNumbers w:val="0"/>
        <w:wordWrap w:val="0"/>
        <w:ind w:left="0" w:firstLine="626" w:firstLineChars="200"/>
        <w:jc w:val="left"/>
        <w:rPr>
          <w:rFonts w:hint="default" w:ascii="仿宋_GB2312" w:hAnsi="仿宋_GB2312" w:eastAsia="仿宋_GB2312" w:cs="Times New Roman"/>
          <w:color w:val="auto"/>
          <w:w w:val="98"/>
          <w:kern w:val="2"/>
          <w:sz w:val="32"/>
          <w:szCs w:val="20"/>
          <w:lang w:val="en-US" w:eastAsia="zh-CN" w:bidi="ar-SA"/>
        </w:rPr>
      </w:pPr>
      <w:r>
        <w:rPr>
          <w:rFonts w:hint="default" w:ascii="仿宋_GB2312" w:hAnsi="仿宋_GB2312" w:eastAsia="仿宋_GB2312" w:cs="Times New Roman"/>
          <w:color w:val="auto"/>
          <w:w w:val="98"/>
          <w:kern w:val="2"/>
          <w:sz w:val="32"/>
          <w:szCs w:val="20"/>
          <w:lang w:val="en-US" w:eastAsia="zh-CN" w:bidi="ar-SA"/>
        </w:rPr>
        <w:t>噻虫胺是一种新烟碱杀虫剂，具有内吸性、触杀和胃毒作用，对姜蛆等有较好防效。少量的残留不会引起人体急性中毒，但长期食用噻虫胺超标的食品，对人体健康可能有一定影响。《食品安全国家标准 食品中农药最大残留限量》（GB</w:t>
      </w:r>
      <w:r>
        <w:rPr>
          <w:rFonts w:hint="eastAsia" w:ascii="仿宋_GB2312" w:hAnsi="仿宋_GB2312" w:eastAsia="仿宋_GB2312" w:cs="Times New Roman"/>
          <w:color w:val="auto"/>
          <w:w w:val="98"/>
          <w:kern w:val="2"/>
          <w:sz w:val="32"/>
          <w:szCs w:val="20"/>
          <w:lang w:val="en-US" w:eastAsia="zh-CN" w:bidi="ar-SA"/>
        </w:rPr>
        <w:t xml:space="preserve"> </w:t>
      </w:r>
      <w:r>
        <w:rPr>
          <w:rFonts w:hint="default" w:ascii="仿宋_GB2312" w:hAnsi="仿宋_GB2312" w:eastAsia="仿宋_GB2312" w:cs="Times New Roman"/>
          <w:color w:val="auto"/>
          <w:w w:val="98"/>
          <w:kern w:val="2"/>
          <w:sz w:val="32"/>
          <w:szCs w:val="20"/>
          <w:lang w:val="en-US" w:eastAsia="zh-CN" w:bidi="ar-SA"/>
        </w:rPr>
        <w:t>2763—2021）中规定，噻虫胺在根茎类蔬菜中的最大残留限量为0.2mg/kg。姜中噻虫胺残留量超标的原因，可能是为快速控制虫害，加大用药量或未遵守采摘间隔期规定，致使上市销售的产品中残留量超标。</w:t>
      </w:r>
    </w:p>
    <w:p>
      <w:pPr>
        <w:pStyle w:val="6"/>
        <w:keepNext w:val="0"/>
        <w:keepLines w:val="0"/>
        <w:pageBreakBefore w:val="0"/>
        <w:kinsoku/>
        <w:wordWrap/>
        <w:overflowPunct/>
        <w:topLinePunct w:val="0"/>
        <w:autoSpaceDE/>
        <w:autoSpaceDN/>
        <w:bidi w:val="0"/>
        <w:spacing w:line="540" w:lineRule="exact"/>
        <w:ind w:left="0" w:leftChars="0" w:firstLine="641" w:firstLineChars="204"/>
        <w:textAlignment w:val="auto"/>
        <w:rPr>
          <w:rFonts w:hint="default" w:ascii="仿宋_GB2312" w:hAnsi="仿宋_GB2312" w:eastAsia="仿宋_GB2312" w:cs="Times New Roman"/>
          <w:b/>
          <w:bCs/>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（五）</w:t>
      </w:r>
      <w:r>
        <w:rPr>
          <w:rFonts w:hint="default" w:ascii="仿宋_GB2312" w:hAnsi="仿宋_GB2312" w:eastAsia="仿宋_GB2312" w:cs="Times New Roman"/>
          <w:b/>
          <w:bCs/>
          <w:color w:val="auto"/>
          <w:w w:val="98"/>
          <w:kern w:val="2"/>
          <w:sz w:val="32"/>
          <w:szCs w:val="20"/>
          <w:lang w:val="en-US" w:eastAsia="zh-CN" w:bidi="ar-SA"/>
        </w:rPr>
        <w:t>三唑磷</w:t>
      </w:r>
    </w:p>
    <w:p>
      <w:pPr>
        <w:keepNext w:val="0"/>
        <w:keepLines w:val="0"/>
        <w:widowControl/>
        <w:suppressLineNumbers w:val="0"/>
        <w:wordWrap w:val="0"/>
        <w:ind w:left="0" w:firstLine="626" w:firstLineChars="200"/>
        <w:jc w:val="left"/>
        <w:rPr>
          <w:rFonts w:hint="eastAsia" w:ascii="仿宋_GB2312" w:hAnsi="仿宋_GB2312" w:eastAsia="仿宋_GB2312" w:cs="Times New Roman"/>
          <w:b/>
          <w:bCs/>
          <w:color w:val="auto"/>
          <w:w w:val="98"/>
          <w:kern w:val="2"/>
          <w:sz w:val="32"/>
          <w:szCs w:val="20"/>
          <w:lang w:val="en-US" w:eastAsia="zh-CN" w:bidi="ar-SA"/>
        </w:rPr>
      </w:pPr>
      <w:r>
        <w:rPr>
          <w:rFonts w:hint="default" w:ascii="仿宋_GB2312" w:hAnsi="仿宋_GB2312" w:eastAsia="仿宋_GB2312" w:cs="Times New Roman"/>
          <w:color w:val="auto"/>
          <w:w w:val="98"/>
          <w:kern w:val="2"/>
          <w:sz w:val="32"/>
          <w:szCs w:val="20"/>
          <w:lang w:val="en-US" w:eastAsia="zh-CN" w:bidi="ar-SA"/>
        </w:rPr>
        <w:t>三唑磷为有机磷杀虫剂，具有触杀和胃毒作用，对柑橘红蜘蛛等有较好防效。少量的残留不会引起人体急性中毒，但长期食用三唑磷超标的食品，对人体健康可能有一定影响。《食品安全国家标准 食品中农药最大残留限量》（GB 2763—20</w:t>
      </w:r>
      <w:r>
        <w:rPr>
          <w:rFonts w:hint="eastAsia" w:ascii="仿宋_GB2312" w:hAnsi="仿宋_GB2312" w:eastAsia="仿宋_GB2312" w:cs="Times New Roman"/>
          <w:color w:val="auto"/>
          <w:w w:val="98"/>
          <w:kern w:val="2"/>
          <w:sz w:val="32"/>
          <w:szCs w:val="20"/>
          <w:lang w:val="en-US" w:eastAsia="zh-CN" w:bidi="ar-SA"/>
        </w:rPr>
        <w:t>21</w:t>
      </w:r>
      <w:r>
        <w:rPr>
          <w:rFonts w:hint="default" w:ascii="仿宋_GB2312" w:hAnsi="仿宋_GB2312" w:eastAsia="仿宋_GB2312" w:cs="Times New Roman"/>
          <w:color w:val="auto"/>
          <w:w w:val="98"/>
          <w:kern w:val="2"/>
          <w:sz w:val="32"/>
          <w:szCs w:val="20"/>
          <w:lang w:val="en-US" w:eastAsia="zh-CN" w:bidi="ar-SA"/>
        </w:rPr>
        <w:t>）中规定，三唑磷在豆类蔬菜</w:t>
      </w:r>
      <w:r>
        <w:rPr>
          <w:rFonts w:hint="eastAsia" w:ascii="仿宋_GB2312" w:hAnsi="仿宋_GB2312" w:eastAsia="仿宋_GB2312" w:cs="Times New Roman"/>
          <w:color w:val="auto"/>
          <w:w w:val="98"/>
          <w:kern w:val="2"/>
          <w:sz w:val="32"/>
          <w:szCs w:val="20"/>
          <w:lang w:val="en-US" w:eastAsia="zh-CN" w:bidi="ar-SA"/>
        </w:rPr>
        <w:t>中</w:t>
      </w:r>
      <w:r>
        <w:rPr>
          <w:rFonts w:hint="default" w:ascii="仿宋_GB2312" w:hAnsi="仿宋_GB2312" w:eastAsia="仿宋_GB2312" w:cs="Times New Roman"/>
          <w:color w:val="auto"/>
          <w:w w:val="98"/>
          <w:kern w:val="2"/>
          <w:sz w:val="32"/>
          <w:szCs w:val="20"/>
          <w:lang w:val="en-US" w:eastAsia="zh-CN" w:bidi="ar-SA"/>
        </w:rPr>
        <w:t>的最大残留限量值为0.</w:t>
      </w:r>
      <w:r>
        <w:rPr>
          <w:rFonts w:hint="eastAsia" w:ascii="仿宋_GB2312" w:hAnsi="仿宋_GB2312" w:eastAsia="仿宋_GB2312" w:cs="Times New Roman"/>
          <w:color w:val="auto"/>
          <w:w w:val="98"/>
          <w:kern w:val="2"/>
          <w:sz w:val="32"/>
          <w:szCs w:val="20"/>
          <w:lang w:val="en-US" w:eastAsia="zh-CN" w:bidi="ar-SA"/>
        </w:rPr>
        <w:t>05</w:t>
      </w:r>
      <w:r>
        <w:rPr>
          <w:rFonts w:hint="default" w:ascii="仿宋_GB2312" w:hAnsi="仿宋_GB2312" w:eastAsia="仿宋_GB2312" w:cs="Times New Roman"/>
          <w:color w:val="auto"/>
          <w:w w:val="98"/>
          <w:kern w:val="2"/>
          <w:sz w:val="32"/>
          <w:szCs w:val="20"/>
          <w:lang w:val="en-US" w:eastAsia="zh-CN" w:bidi="ar-SA"/>
        </w:rPr>
        <w:t>mg/kg。豆类蔬菜中三唑磷残留量超标的原因，可能是为快速控制虫害，加大用药量或未遵守采摘间隔期规定，致使上市销售的产品中残留量超标。</w:t>
      </w:r>
    </w:p>
    <w:p>
      <w:pPr>
        <w:keepNext w:val="0"/>
        <w:keepLines w:val="0"/>
        <w:pageBreakBefore w:val="0"/>
        <w:kinsoku/>
        <w:wordWrap/>
        <w:overflowPunct/>
        <w:topLinePunct w:val="0"/>
        <w:autoSpaceDE/>
        <w:autoSpaceDN/>
        <w:bidi w:val="0"/>
        <w:spacing w:line="540" w:lineRule="exact"/>
        <w:ind w:left="0" w:leftChars="0" w:firstLine="629" w:firstLineChars="200"/>
        <w:textAlignment w:val="auto"/>
        <w:rPr>
          <w:rFonts w:hint="eastAsia" w:ascii="仿宋_GB2312" w:hAnsi="仿宋_GB2312" w:eastAsia="仿宋_GB2312" w:cs="Times New Roman"/>
          <w:b/>
          <w:bCs/>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（六）黄曲霉毒素B1</w:t>
      </w:r>
    </w:p>
    <w:p>
      <w:pPr>
        <w:keepNext w:val="0"/>
        <w:keepLines w:val="0"/>
        <w:widowControl/>
        <w:suppressLineNumbers w:val="0"/>
        <w:wordWrap w:val="0"/>
        <w:ind w:firstLine="626" w:firstLineChars="200"/>
        <w:jc w:val="left"/>
        <w:rPr>
          <w:rFonts w:hint="eastAsia" w:ascii="仿宋_GB2312" w:hAnsi="仿宋_GB2312" w:eastAsia="仿宋_GB2312" w:cs="Times New Roman"/>
          <w:color w:val="auto"/>
          <w:w w:val="98"/>
          <w:kern w:val="2"/>
          <w:sz w:val="32"/>
          <w:szCs w:val="20"/>
          <w:highlight w:val="none"/>
          <w:lang w:val="en-US" w:eastAsia="zh-CN" w:bidi="ar-SA"/>
        </w:rPr>
      </w:pPr>
      <w:r>
        <w:rPr>
          <w:rFonts w:hint="eastAsia" w:ascii="仿宋_GB2312" w:hAnsi="仿宋_GB2312" w:eastAsia="仿宋_GB2312" w:cs="Times New Roman"/>
          <w:color w:val="auto"/>
          <w:w w:val="98"/>
          <w:kern w:val="2"/>
          <w:sz w:val="32"/>
          <w:szCs w:val="20"/>
          <w:highlight w:val="none"/>
          <w:lang w:val="en-US" w:eastAsia="zh-CN" w:bidi="ar-SA"/>
        </w:rPr>
        <w:t>黄曲霉毒素B</w:t>
      </w:r>
      <w:r>
        <w:rPr>
          <w:rFonts w:hint="eastAsia" w:ascii="仿宋_GB2312" w:hAnsi="仿宋_GB2312" w:eastAsia="仿宋_GB2312" w:cs="Times New Roman"/>
          <w:color w:val="auto"/>
          <w:w w:val="98"/>
          <w:kern w:val="2"/>
          <w:sz w:val="32"/>
          <w:szCs w:val="20"/>
          <w:highlight w:val="none"/>
          <w:vertAlign w:val="subscript"/>
          <w:lang w:val="en-US" w:eastAsia="zh-CN" w:bidi="ar-SA"/>
        </w:rPr>
        <w:t>1</w:t>
      </w:r>
      <w:r>
        <w:rPr>
          <w:rFonts w:hint="eastAsia" w:ascii="仿宋_GB2312" w:hAnsi="仿宋_GB2312" w:eastAsia="仿宋_GB2312" w:cs="Times New Roman"/>
          <w:color w:val="auto"/>
          <w:w w:val="98"/>
          <w:kern w:val="2"/>
          <w:sz w:val="32"/>
          <w:szCs w:val="20"/>
          <w:highlight w:val="none"/>
          <w:lang w:val="en-US" w:eastAsia="zh-CN" w:bidi="ar-SA"/>
        </w:rPr>
        <w:t>是一种强致癌性的真菌毒素。食用黄曲霉毒素B</w:t>
      </w:r>
      <w:r>
        <w:rPr>
          <w:rFonts w:hint="eastAsia" w:ascii="仿宋_GB2312" w:hAnsi="仿宋_GB2312" w:eastAsia="仿宋_GB2312" w:cs="Times New Roman"/>
          <w:color w:val="auto"/>
          <w:w w:val="98"/>
          <w:kern w:val="2"/>
          <w:sz w:val="32"/>
          <w:szCs w:val="20"/>
          <w:highlight w:val="none"/>
          <w:vertAlign w:val="subscript"/>
          <w:lang w:val="en-US" w:eastAsia="zh-CN" w:bidi="ar-SA"/>
        </w:rPr>
        <w:t>1</w:t>
      </w:r>
      <w:r>
        <w:rPr>
          <w:rFonts w:hint="eastAsia" w:ascii="仿宋_GB2312" w:hAnsi="仿宋_GB2312" w:eastAsia="仿宋_GB2312" w:cs="Times New Roman"/>
          <w:color w:val="auto"/>
          <w:w w:val="98"/>
          <w:kern w:val="2"/>
          <w:sz w:val="32"/>
          <w:szCs w:val="20"/>
          <w:highlight w:val="none"/>
          <w:lang w:val="en-US" w:eastAsia="zh-CN" w:bidi="ar-SA"/>
        </w:rPr>
        <w:t>超标的食品，可能对肝脏造成损害。《食品安全国家标准 食品中真菌毒素限量》（GB 2761—2017）中规定，黄曲霉毒素B</w:t>
      </w:r>
      <w:r>
        <w:rPr>
          <w:rFonts w:hint="eastAsia" w:ascii="仿宋_GB2312" w:hAnsi="仿宋_GB2312" w:eastAsia="仿宋_GB2312" w:cs="Times New Roman"/>
          <w:color w:val="auto"/>
          <w:w w:val="98"/>
          <w:kern w:val="2"/>
          <w:sz w:val="32"/>
          <w:szCs w:val="20"/>
          <w:highlight w:val="none"/>
          <w:vertAlign w:val="subscript"/>
          <w:lang w:val="en-US" w:eastAsia="zh-CN" w:bidi="ar-SA"/>
        </w:rPr>
        <w:t>1</w:t>
      </w:r>
      <w:r>
        <w:rPr>
          <w:rFonts w:hint="eastAsia" w:ascii="仿宋_GB2312" w:hAnsi="仿宋_GB2312" w:eastAsia="仿宋_GB2312" w:cs="Times New Roman"/>
          <w:color w:val="auto"/>
          <w:w w:val="98"/>
          <w:kern w:val="2"/>
          <w:sz w:val="32"/>
          <w:szCs w:val="20"/>
          <w:highlight w:val="none"/>
          <w:lang w:val="en-US" w:eastAsia="zh-CN" w:bidi="ar-SA"/>
        </w:rPr>
        <w:t>在花生及其制品中的最大限量值为20μg/kg。花生油中黄曲霉毒素B</w:t>
      </w:r>
      <w:r>
        <w:rPr>
          <w:rFonts w:hint="eastAsia" w:ascii="仿宋_GB2312" w:hAnsi="仿宋_GB2312" w:eastAsia="仿宋_GB2312" w:cs="Times New Roman"/>
          <w:color w:val="auto"/>
          <w:w w:val="98"/>
          <w:kern w:val="2"/>
          <w:sz w:val="32"/>
          <w:szCs w:val="20"/>
          <w:highlight w:val="none"/>
          <w:vertAlign w:val="subscript"/>
          <w:lang w:val="en-US" w:eastAsia="zh-CN" w:bidi="ar-SA"/>
        </w:rPr>
        <w:t>1</w:t>
      </w:r>
      <w:r>
        <w:rPr>
          <w:rFonts w:hint="eastAsia" w:ascii="仿宋_GB2312" w:hAnsi="仿宋_GB2312" w:eastAsia="仿宋_GB2312" w:cs="Times New Roman"/>
          <w:color w:val="auto"/>
          <w:w w:val="98"/>
          <w:kern w:val="2"/>
          <w:sz w:val="32"/>
          <w:szCs w:val="20"/>
          <w:highlight w:val="none"/>
          <w:lang w:val="en-US" w:eastAsia="zh-CN" w:bidi="ar-SA"/>
        </w:rPr>
        <w:t>超标的原因，可能是生产企业使用的原料因储存条件不当产生了黄曲霉毒素B</w:t>
      </w:r>
      <w:r>
        <w:rPr>
          <w:rFonts w:hint="eastAsia" w:ascii="仿宋_GB2312" w:hAnsi="仿宋_GB2312" w:eastAsia="仿宋_GB2312" w:cs="Times New Roman"/>
          <w:color w:val="auto"/>
          <w:w w:val="98"/>
          <w:kern w:val="2"/>
          <w:sz w:val="32"/>
          <w:szCs w:val="20"/>
          <w:highlight w:val="none"/>
          <w:vertAlign w:val="subscript"/>
          <w:lang w:val="en-US" w:eastAsia="zh-CN" w:bidi="ar-SA"/>
        </w:rPr>
        <w:t>1</w:t>
      </w:r>
      <w:r>
        <w:rPr>
          <w:rFonts w:hint="eastAsia" w:ascii="仿宋_GB2312" w:hAnsi="仿宋_GB2312" w:eastAsia="仿宋_GB2312" w:cs="Times New Roman"/>
          <w:color w:val="auto"/>
          <w:w w:val="98"/>
          <w:kern w:val="2"/>
          <w:sz w:val="32"/>
          <w:szCs w:val="20"/>
          <w:highlight w:val="none"/>
          <w:lang w:val="en-US" w:eastAsia="zh-CN" w:bidi="ar-SA"/>
        </w:rPr>
        <w:t>；也可能是生产加工过程中卫生条件控制不严格；还可能与产品包装密封不严、储运条件控制不当等有关。</w:t>
      </w:r>
    </w:p>
    <w:p>
      <w:pPr>
        <w:keepNext w:val="0"/>
        <w:keepLines w:val="0"/>
        <w:widowControl/>
        <w:suppressLineNumbers w:val="0"/>
        <w:wordWrap w:val="0"/>
        <w:ind w:firstLine="629" w:firstLineChars="200"/>
        <w:jc w:val="left"/>
        <w:rPr>
          <w:rFonts w:hint="eastAsia" w:ascii="仿宋_GB2312" w:hAnsi="仿宋_GB2312" w:eastAsia="仿宋_GB2312" w:cs="Times New Roman"/>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（七）过氧化值</w:t>
      </w:r>
    </w:p>
    <w:p>
      <w:pPr>
        <w:keepNext w:val="0"/>
        <w:keepLines w:val="0"/>
        <w:widowControl/>
        <w:suppressLineNumbers w:val="0"/>
        <w:wordWrap w:val="0"/>
        <w:ind w:firstLine="626" w:firstLineChars="200"/>
        <w:jc w:val="left"/>
        <w:rPr>
          <w:rFonts w:hint="eastAsia" w:ascii="仿宋_GB2312" w:hAnsi="仿宋_GB2312" w:eastAsia="仿宋_GB2312" w:cs="Times New Roman"/>
          <w:color w:val="auto"/>
          <w:w w:val="98"/>
          <w:kern w:val="2"/>
          <w:sz w:val="32"/>
          <w:szCs w:val="20"/>
          <w:highlight w:val="none"/>
          <w:lang w:val="en-US" w:eastAsia="zh-CN" w:bidi="ar-SA"/>
        </w:rPr>
      </w:pPr>
      <w:r>
        <w:rPr>
          <w:rFonts w:hint="default" w:ascii="仿宋_GB2312" w:hAnsi="仿宋_GB2312" w:eastAsia="仿宋_GB2312" w:cs="Times New Roman"/>
          <w:color w:val="auto"/>
          <w:w w:val="98"/>
          <w:kern w:val="2"/>
          <w:sz w:val="32"/>
          <w:szCs w:val="20"/>
          <w:lang w:val="en-US" w:eastAsia="zh-CN" w:bidi="ar-SA"/>
        </w:rPr>
        <w:t>过氧化值主要反映油脂的被氧化程度，是油脂酸败的早期指标。食用过氧化值超标的食品一般不会对人体健康造成损害，但长期食用严重超标的食品可能导致肠胃不适、腹泻等。《食品安全国家标准 植物油》（GB 2716-2018）中规定，</w:t>
      </w:r>
      <w:r>
        <w:rPr>
          <w:rFonts w:hint="eastAsia" w:ascii="仿宋_GB2312" w:hAnsi="仿宋_GB2312" w:eastAsia="仿宋_GB2312" w:cs="Times New Roman"/>
          <w:color w:val="auto"/>
          <w:w w:val="98"/>
          <w:kern w:val="2"/>
          <w:sz w:val="32"/>
          <w:szCs w:val="20"/>
          <w:highlight w:val="none"/>
          <w:lang w:val="en-US" w:eastAsia="zh-CN" w:bidi="ar-SA"/>
        </w:rPr>
        <w:t>过氧化值在花生油中的最大限量值为0.25g/100g。</w:t>
      </w:r>
      <w:r>
        <w:rPr>
          <w:rFonts w:hint="eastAsia" w:ascii="仿宋_GB2312" w:hAnsi="仿宋_GB2312" w:eastAsia="仿宋_GB2312" w:cs="Times New Roman"/>
          <w:color w:val="auto"/>
          <w:w w:val="98"/>
          <w:kern w:val="2"/>
          <w:sz w:val="32"/>
          <w:szCs w:val="20"/>
          <w:lang w:val="en-US" w:eastAsia="zh-CN" w:bidi="ar-SA"/>
        </w:rPr>
        <w:t>过氧化值超标的原因可能是生产企业使用的原料因储存条件不当或存放过久导致原料中的油脂发生氧化；也可能是生产加工过程中操作工艺控制不当；还可能与产品包装密封不严、储运条件控制不当等有关。</w:t>
      </w:r>
    </w:p>
    <w:p>
      <w:pPr>
        <w:keepNext w:val="0"/>
        <w:keepLines w:val="0"/>
        <w:widowControl/>
        <w:suppressLineNumbers w:val="0"/>
        <w:wordWrap w:val="0"/>
        <w:ind w:firstLine="629" w:firstLineChars="200"/>
        <w:jc w:val="left"/>
        <w:rPr>
          <w:rFonts w:hint="eastAsia" w:ascii="仿宋_GB2312" w:hAnsi="仿宋_GB2312" w:eastAsia="仿宋_GB2312" w:cs="Times New Roman"/>
          <w:b/>
          <w:bCs/>
          <w:color w:val="auto"/>
          <w:w w:val="98"/>
          <w:kern w:val="2"/>
          <w:sz w:val="32"/>
          <w:szCs w:val="20"/>
          <w:lang w:val="en-US" w:eastAsia="zh-CN" w:bidi="ar-SA"/>
        </w:rPr>
      </w:pPr>
      <w:r>
        <w:rPr>
          <w:rFonts w:hint="eastAsia" w:ascii="仿宋_GB2312" w:hAnsi="仿宋_GB2312" w:eastAsia="仿宋_GB2312" w:cs="Times New Roman"/>
          <w:b/>
          <w:bCs/>
          <w:color w:val="auto"/>
          <w:w w:val="98"/>
          <w:kern w:val="2"/>
          <w:sz w:val="32"/>
          <w:szCs w:val="20"/>
          <w:lang w:val="en-US" w:eastAsia="zh-CN" w:bidi="ar-SA"/>
        </w:rPr>
        <w:t>（八）菌落总数</w:t>
      </w:r>
    </w:p>
    <w:p>
      <w:pPr>
        <w:keepNext w:val="0"/>
        <w:keepLines w:val="0"/>
        <w:widowControl/>
        <w:suppressLineNumbers w:val="0"/>
        <w:wordWrap w:val="0"/>
        <w:ind w:firstLine="626" w:firstLineChars="200"/>
        <w:jc w:val="left"/>
        <w:rPr>
          <w:rFonts w:hint="default" w:ascii="仿宋_GB2312" w:hAnsi="仿宋_GB2312" w:eastAsia="仿宋_GB2312" w:cs="Times New Roman"/>
          <w:color w:val="auto"/>
          <w:w w:val="98"/>
          <w:kern w:val="2"/>
          <w:sz w:val="32"/>
          <w:szCs w:val="20"/>
          <w:lang w:val="en-US" w:eastAsia="zh-CN" w:bidi="ar-SA"/>
        </w:rPr>
      </w:pPr>
      <w:r>
        <w:rPr>
          <w:rFonts w:hint="eastAsia" w:ascii="仿宋_GB2312" w:hAnsi="仿宋_GB2312" w:eastAsia="仿宋_GB2312" w:cs="Times New Roman"/>
          <w:color w:val="auto"/>
          <w:w w:val="98"/>
          <w:kern w:val="2"/>
          <w:sz w:val="32"/>
          <w:szCs w:val="20"/>
          <w:lang w:val="en-US" w:eastAsia="zh-CN" w:bidi="ar-SA"/>
        </w:rPr>
        <w:t>菌落总数是指示性微生物指标，并非致病菌指标，主要用来评价食品清洁度，反映食品在生产过程中是否符合卫生要求。《食品安全国家标准 熟肉制品》（GB 2726—2016）中规定熟肉制品（除发酵肉制品外），一个样品的5次检测结果均不得超过10</w:t>
      </w:r>
      <w:r>
        <w:rPr>
          <w:rFonts w:hint="eastAsia" w:ascii="仿宋_GB2312" w:hAnsi="仿宋_GB2312" w:eastAsia="仿宋_GB2312" w:cs="Times New Roman"/>
          <w:color w:val="auto"/>
          <w:w w:val="98"/>
          <w:kern w:val="2"/>
          <w:sz w:val="32"/>
          <w:szCs w:val="20"/>
          <w:vertAlign w:val="superscript"/>
          <w:lang w:val="en-US" w:eastAsia="zh-CN" w:bidi="ar-SA"/>
        </w:rPr>
        <w:t>5</w:t>
      </w:r>
      <w:r>
        <w:rPr>
          <w:rFonts w:hint="eastAsia" w:ascii="仿宋_GB2312" w:hAnsi="仿宋_GB2312" w:eastAsia="仿宋_GB2312" w:cs="Times New Roman"/>
          <w:color w:val="auto"/>
          <w:w w:val="98"/>
          <w:kern w:val="2"/>
          <w:sz w:val="32"/>
          <w:szCs w:val="20"/>
          <w:lang w:val="en-US" w:eastAsia="zh-CN" w:bidi="ar-SA"/>
        </w:rPr>
        <w:t>CFU/g且至少3次检测结果不超过10</w:t>
      </w:r>
      <w:r>
        <w:rPr>
          <w:rFonts w:hint="eastAsia" w:ascii="仿宋_GB2312" w:hAnsi="仿宋_GB2312" w:eastAsia="仿宋_GB2312" w:cs="Times New Roman"/>
          <w:color w:val="auto"/>
          <w:w w:val="98"/>
          <w:kern w:val="2"/>
          <w:sz w:val="32"/>
          <w:szCs w:val="20"/>
          <w:vertAlign w:val="superscript"/>
          <w:lang w:val="en-US" w:eastAsia="zh-CN" w:bidi="ar-SA"/>
        </w:rPr>
        <w:t>4</w:t>
      </w:r>
      <w:r>
        <w:rPr>
          <w:rFonts w:hint="eastAsia" w:ascii="仿宋_GB2312" w:hAnsi="仿宋_GB2312" w:eastAsia="仿宋_GB2312" w:cs="Times New Roman"/>
          <w:color w:val="auto"/>
          <w:w w:val="98"/>
          <w:kern w:val="2"/>
          <w:sz w:val="32"/>
          <w:szCs w:val="20"/>
          <w:lang w:val="en-US" w:eastAsia="zh-CN" w:bidi="ar-SA"/>
        </w:rPr>
        <w:t>CFU/g；《食品安全国家标准 饼干》（GB 7100—2015）中规定，饼干同一批次产品5个样品的菌落总数检测结果均不得超过10</w:t>
      </w:r>
      <w:r>
        <w:rPr>
          <w:rFonts w:hint="eastAsia" w:ascii="仿宋_GB2312" w:hAnsi="仿宋_GB2312" w:eastAsia="仿宋_GB2312" w:cs="Times New Roman"/>
          <w:color w:val="auto"/>
          <w:w w:val="98"/>
          <w:kern w:val="2"/>
          <w:sz w:val="32"/>
          <w:szCs w:val="20"/>
          <w:vertAlign w:val="superscript"/>
          <w:lang w:val="en-US" w:eastAsia="zh-CN" w:bidi="ar-SA"/>
        </w:rPr>
        <w:t>5</w:t>
      </w:r>
      <w:r>
        <w:rPr>
          <w:rFonts w:hint="eastAsia" w:ascii="仿宋_GB2312" w:hAnsi="仿宋_GB2312" w:eastAsia="仿宋_GB2312" w:cs="Times New Roman"/>
          <w:color w:val="auto"/>
          <w:w w:val="98"/>
          <w:kern w:val="2"/>
          <w:sz w:val="32"/>
          <w:szCs w:val="20"/>
          <w:lang w:val="en-US" w:eastAsia="zh-CN" w:bidi="ar-SA"/>
        </w:rPr>
        <w:t>CFU/g，且最多允许2个样品的检测结果超过10</w:t>
      </w:r>
      <w:r>
        <w:rPr>
          <w:rFonts w:hint="eastAsia" w:ascii="仿宋_GB2312" w:hAnsi="仿宋_GB2312" w:eastAsia="仿宋_GB2312" w:cs="Times New Roman"/>
          <w:color w:val="auto"/>
          <w:w w:val="98"/>
          <w:kern w:val="2"/>
          <w:sz w:val="32"/>
          <w:szCs w:val="20"/>
          <w:vertAlign w:val="superscript"/>
          <w:lang w:val="en-US" w:eastAsia="zh-CN" w:bidi="ar-SA"/>
        </w:rPr>
        <w:t>4</w:t>
      </w:r>
      <w:r>
        <w:rPr>
          <w:rFonts w:hint="eastAsia" w:ascii="仿宋_GB2312" w:hAnsi="仿宋_GB2312" w:eastAsia="仿宋_GB2312" w:cs="Times New Roman"/>
          <w:color w:val="auto"/>
          <w:w w:val="98"/>
          <w:kern w:val="2"/>
          <w:sz w:val="32"/>
          <w:szCs w:val="20"/>
          <w:lang w:val="en-US" w:eastAsia="zh-CN" w:bidi="ar-SA"/>
        </w:rPr>
        <w:t>CFU/g。菌落总数超标可能是个别企业所使用的原辅料初始菌数较高，又未按要求严格控制生产加工过程的卫生条件，或者包装容器清洗消毒不到位，还有可能与产品包装密封不严、储运条件控制不当等有关。</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ZDY4Yzg5YTBjNTM1ZWI4YzA1ODQzYTk0MjIxOTQifQ=="/>
  </w:docVars>
  <w:rsids>
    <w:rsidRoot w:val="00000000"/>
    <w:rsid w:val="00014C9C"/>
    <w:rsid w:val="00844285"/>
    <w:rsid w:val="00A0031C"/>
    <w:rsid w:val="01086C64"/>
    <w:rsid w:val="013D4B60"/>
    <w:rsid w:val="01910A08"/>
    <w:rsid w:val="01CF1F27"/>
    <w:rsid w:val="023567F6"/>
    <w:rsid w:val="024A6667"/>
    <w:rsid w:val="031511C4"/>
    <w:rsid w:val="032A0A86"/>
    <w:rsid w:val="03C064E2"/>
    <w:rsid w:val="03FB4CD7"/>
    <w:rsid w:val="03FF434E"/>
    <w:rsid w:val="041B1A3F"/>
    <w:rsid w:val="04446205"/>
    <w:rsid w:val="04784101"/>
    <w:rsid w:val="048B3E34"/>
    <w:rsid w:val="04A24CDA"/>
    <w:rsid w:val="04DD5D12"/>
    <w:rsid w:val="04E15802"/>
    <w:rsid w:val="05212B27"/>
    <w:rsid w:val="05810D93"/>
    <w:rsid w:val="05C87B03"/>
    <w:rsid w:val="05D11D1B"/>
    <w:rsid w:val="05DE1F43"/>
    <w:rsid w:val="066F6E3E"/>
    <w:rsid w:val="069114AA"/>
    <w:rsid w:val="06C118B6"/>
    <w:rsid w:val="06E4088A"/>
    <w:rsid w:val="07007430"/>
    <w:rsid w:val="07520C39"/>
    <w:rsid w:val="077566D6"/>
    <w:rsid w:val="079B25E0"/>
    <w:rsid w:val="079D726B"/>
    <w:rsid w:val="08A70B11"/>
    <w:rsid w:val="08DB07BA"/>
    <w:rsid w:val="08E229AA"/>
    <w:rsid w:val="092D4DF7"/>
    <w:rsid w:val="09B50C68"/>
    <w:rsid w:val="09CF0DAD"/>
    <w:rsid w:val="09D04097"/>
    <w:rsid w:val="09FC30DE"/>
    <w:rsid w:val="0A252635"/>
    <w:rsid w:val="0A2543E3"/>
    <w:rsid w:val="0A4B0A34"/>
    <w:rsid w:val="0A9D041D"/>
    <w:rsid w:val="0ADE1C87"/>
    <w:rsid w:val="0AE52434"/>
    <w:rsid w:val="0AEB62EA"/>
    <w:rsid w:val="0AF41B2D"/>
    <w:rsid w:val="0B75579F"/>
    <w:rsid w:val="0BB77D4C"/>
    <w:rsid w:val="0BF3436E"/>
    <w:rsid w:val="0C440FE1"/>
    <w:rsid w:val="0C4502EF"/>
    <w:rsid w:val="0C7D7364"/>
    <w:rsid w:val="0C9870EE"/>
    <w:rsid w:val="0CD12600"/>
    <w:rsid w:val="0D505C1B"/>
    <w:rsid w:val="0DA87064"/>
    <w:rsid w:val="0DB2185C"/>
    <w:rsid w:val="0E0B7D94"/>
    <w:rsid w:val="0E110CC7"/>
    <w:rsid w:val="0E444E7A"/>
    <w:rsid w:val="0E9953A0"/>
    <w:rsid w:val="0EC22EC4"/>
    <w:rsid w:val="0ECC307F"/>
    <w:rsid w:val="0F242EBB"/>
    <w:rsid w:val="0FFA7511"/>
    <w:rsid w:val="10F44B0F"/>
    <w:rsid w:val="117619C8"/>
    <w:rsid w:val="11A025A1"/>
    <w:rsid w:val="11B12702"/>
    <w:rsid w:val="11CA30DA"/>
    <w:rsid w:val="11D741E0"/>
    <w:rsid w:val="12573966"/>
    <w:rsid w:val="125C13A6"/>
    <w:rsid w:val="126006AE"/>
    <w:rsid w:val="126A21E7"/>
    <w:rsid w:val="12863075"/>
    <w:rsid w:val="12B36F26"/>
    <w:rsid w:val="12CF1390"/>
    <w:rsid w:val="12E0534B"/>
    <w:rsid w:val="13760E51"/>
    <w:rsid w:val="1399374C"/>
    <w:rsid w:val="13A22600"/>
    <w:rsid w:val="13EE60D1"/>
    <w:rsid w:val="14164D9C"/>
    <w:rsid w:val="14245BF6"/>
    <w:rsid w:val="1432607A"/>
    <w:rsid w:val="143F60A1"/>
    <w:rsid w:val="14DF3E48"/>
    <w:rsid w:val="14EC0D54"/>
    <w:rsid w:val="152C0D1B"/>
    <w:rsid w:val="159D39C7"/>
    <w:rsid w:val="16CA259A"/>
    <w:rsid w:val="173A4A88"/>
    <w:rsid w:val="174F6F43"/>
    <w:rsid w:val="17571D9C"/>
    <w:rsid w:val="17D95D9B"/>
    <w:rsid w:val="18824A45"/>
    <w:rsid w:val="189F1804"/>
    <w:rsid w:val="18AD3F21"/>
    <w:rsid w:val="18B65D95"/>
    <w:rsid w:val="190F3B53"/>
    <w:rsid w:val="19362169"/>
    <w:rsid w:val="1B09565B"/>
    <w:rsid w:val="1B610FF3"/>
    <w:rsid w:val="1B8756CA"/>
    <w:rsid w:val="1B965141"/>
    <w:rsid w:val="1BA50C53"/>
    <w:rsid w:val="1BD3240C"/>
    <w:rsid w:val="1BDC68CC"/>
    <w:rsid w:val="1BE51C24"/>
    <w:rsid w:val="1C12289A"/>
    <w:rsid w:val="1C236240"/>
    <w:rsid w:val="1C7505F7"/>
    <w:rsid w:val="1CD43891"/>
    <w:rsid w:val="1CE26164"/>
    <w:rsid w:val="1D6F5C49"/>
    <w:rsid w:val="1DAE2FF5"/>
    <w:rsid w:val="1DBB5AD7"/>
    <w:rsid w:val="1DD2641B"/>
    <w:rsid w:val="1E087E4C"/>
    <w:rsid w:val="1E0A7720"/>
    <w:rsid w:val="1E560BB7"/>
    <w:rsid w:val="1E6C4F36"/>
    <w:rsid w:val="1E9811D0"/>
    <w:rsid w:val="1F6E3CDF"/>
    <w:rsid w:val="1FCF29CF"/>
    <w:rsid w:val="1FD66684"/>
    <w:rsid w:val="20032679"/>
    <w:rsid w:val="202658E7"/>
    <w:rsid w:val="202B1BD0"/>
    <w:rsid w:val="20457135"/>
    <w:rsid w:val="20AD6650"/>
    <w:rsid w:val="20AF2801"/>
    <w:rsid w:val="20B47E17"/>
    <w:rsid w:val="20E701EC"/>
    <w:rsid w:val="21467326"/>
    <w:rsid w:val="21703D3E"/>
    <w:rsid w:val="21BF3797"/>
    <w:rsid w:val="21C5052E"/>
    <w:rsid w:val="221B63A0"/>
    <w:rsid w:val="223A7870"/>
    <w:rsid w:val="224A0A33"/>
    <w:rsid w:val="229E48DB"/>
    <w:rsid w:val="22DF73CD"/>
    <w:rsid w:val="23384D2F"/>
    <w:rsid w:val="23F12437"/>
    <w:rsid w:val="245C5490"/>
    <w:rsid w:val="24853FA4"/>
    <w:rsid w:val="24981EA8"/>
    <w:rsid w:val="24DB3599"/>
    <w:rsid w:val="250C6474"/>
    <w:rsid w:val="250F1AC0"/>
    <w:rsid w:val="251F7F55"/>
    <w:rsid w:val="253B638E"/>
    <w:rsid w:val="2593196A"/>
    <w:rsid w:val="262E41C8"/>
    <w:rsid w:val="266C2C2D"/>
    <w:rsid w:val="26DB3FC4"/>
    <w:rsid w:val="27533EE6"/>
    <w:rsid w:val="275D49AC"/>
    <w:rsid w:val="27C608B1"/>
    <w:rsid w:val="27CA2CAA"/>
    <w:rsid w:val="27E234BC"/>
    <w:rsid w:val="27F51441"/>
    <w:rsid w:val="283209F9"/>
    <w:rsid w:val="283244AF"/>
    <w:rsid w:val="283A32F8"/>
    <w:rsid w:val="28445F24"/>
    <w:rsid w:val="28AD5878"/>
    <w:rsid w:val="28B27332"/>
    <w:rsid w:val="28C64B8B"/>
    <w:rsid w:val="291E0523"/>
    <w:rsid w:val="292D24B6"/>
    <w:rsid w:val="298505A2"/>
    <w:rsid w:val="298C7B83"/>
    <w:rsid w:val="29FB0865"/>
    <w:rsid w:val="2A036979"/>
    <w:rsid w:val="2A1A0CEB"/>
    <w:rsid w:val="2A400977"/>
    <w:rsid w:val="2A467D32"/>
    <w:rsid w:val="2A5E3ED8"/>
    <w:rsid w:val="2A605BB0"/>
    <w:rsid w:val="2A77438F"/>
    <w:rsid w:val="2AC450FA"/>
    <w:rsid w:val="2B211F52"/>
    <w:rsid w:val="2B920D55"/>
    <w:rsid w:val="2B936C47"/>
    <w:rsid w:val="2BA74800"/>
    <w:rsid w:val="2C3D0DA3"/>
    <w:rsid w:val="2CFC7029"/>
    <w:rsid w:val="2D0A773C"/>
    <w:rsid w:val="2D256324"/>
    <w:rsid w:val="2D5C0389"/>
    <w:rsid w:val="2D7D5637"/>
    <w:rsid w:val="2DB96A6D"/>
    <w:rsid w:val="2EE432E0"/>
    <w:rsid w:val="2F5051AF"/>
    <w:rsid w:val="2F546A4D"/>
    <w:rsid w:val="2FAD0853"/>
    <w:rsid w:val="2FD7142C"/>
    <w:rsid w:val="307E7ED7"/>
    <w:rsid w:val="30830840"/>
    <w:rsid w:val="31012C04"/>
    <w:rsid w:val="31292CB0"/>
    <w:rsid w:val="315076E8"/>
    <w:rsid w:val="315216B2"/>
    <w:rsid w:val="316F5DC0"/>
    <w:rsid w:val="31AD5366"/>
    <w:rsid w:val="31C85368"/>
    <w:rsid w:val="31DD71CE"/>
    <w:rsid w:val="33174961"/>
    <w:rsid w:val="33353039"/>
    <w:rsid w:val="3344327C"/>
    <w:rsid w:val="33C10429"/>
    <w:rsid w:val="33F9763E"/>
    <w:rsid w:val="343926B5"/>
    <w:rsid w:val="34587B1D"/>
    <w:rsid w:val="34923248"/>
    <w:rsid w:val="34B8182C"/>
    <w:rsid w:val="34C5219B"/>
    <w:rsid w:val="34DC09D9"/>
    <w:rsid w:val="351673D3"/>
    <w:rsid w:val="3590319C"/>
    <w:rsid w:val="35C366DA"/>
    <w:rsid w:val="35D75AF0"/>
    <w:rsid w:val="35EA1273"/>
    <w:rsid w:val="362B4280"/>
    <w:rsid w:val="363F316A"/>
    <w:rsid w:val="368C11C2"/>
    <w:rsid w:val="371A07CC"/>
    <w:rsid w:val="373F5974"/>
    <w:rsid w:val="37890A28"/>
    <w:rsid w:val="379B110E"/>
    <w:rsid w:val="37AC319E"/>
    <w:rsid w:val="37EB6CD4"/>
    <w:rsid w:val="381F7BCF"/>
    <w:rsid w:val="38726196"/>
    <w:rsid w:val="38F848ED"/>
    <w:rsid w:val="38F90665"/>
    <w:rsid w:val="39A94297"/>
    <w:rsid w:val="39DC5FBD"/>
    <w:rsid w:val="39E6508D"/>
    <w:rsid w:val="3A3E4582"/>
    <w:rsid w:val="3A402444"/>
    <w:rsid w:val="3AC41E48"/>
    <w:rsid w:val="3AE07F36"/>
    <w:rsid w:val="3AE710BD"/>
    <w:rsid w:val="3B230AF4"/>
    <w:rsid w:val="3B4848E9"/>
    <w:rsid w:val="3B81506E"/>
    <w:rsid w:val="3B88367D"/>
    <w:rsid w:val="3BEA27FA"/>
    <w:rsid w:val="3C1852A6"/>
    <w:rsid w:val="3C495460"/>
    <w:rsid w:val="3C8A7F52"/>
    <w:rsid w:val="3CB36E5B"/>
    <w:rsid w:val="3D474095"/>
    <w:rsid w:val="3D507ADA"/>
    <w:rsid w:val="3D7604D6"/>
    <w:rsid w:val="3DA711B3"/>
    <w:rsid w:val="3DB427FD"/>
    <w:rsid w:val="3E03620E"/>
    <w:rsid w:val="3E2D5039"/>
    <w:rsid w:val="3E894239"/>
    <w:rsid w:val="3E8D1F7B"/>
    <w:rsid w:val="3EC15781"/>
    <w:rsid w:val="3F56236D"/>
    <w:rsid w:val="3F6A406B"/>
    <w:rsid w:val="3F78523B"/>
    <w:rsid w:val="3FEB29BB"/>
    <w:rsid w:val="3FF108B6"/>
    <w:rsid w:val="40780E15"/>
    <w:rsid w:val="407A3CE0"/>
    <w:rsid w:val="407A71DE"/>
    <w:rsid w:val="40C17CBA"/>
    <w:rsid w:val="40C63F6B"/>
    <w:rsid w:val="40C652D1"/>
    <w:rsid w:val="40CD2B03"/>
    <w:rsid w:val="40DC2D46"/>
    <w:rsid w:val="41151DB4"/>
    <w:rsid w:val="41700B79"/>
    <w:rsid w:val="41DA54D8"/>
    <w:rsid w:val="41E217AB"/>
    <w:rsid w:val="422B7AE1"/>
    <w:rsid w:val="42A17DA3"/>
    <w:rsid w:val="42D27F5D"/>
    <w:rsid w:val="42E83C24"/>
    <w:rsid w:val="42F71332"/>
    <w:rsid w:val="4309522B"/>
    <w:rsid w:val="431B4E6A"/>
    <w:rsid w:val="43741014"/>
    <w:rsid w:val="43835F5C"/>
    <w:rsid w:val="43C57AC2"/>
    <w:rsid w:val="43CF6B92"/>
    <w:rsid w:val="44007AD7"/>
    <w:rsid w:val="44BA339E"/>
    <w:rsid w:val="44ED3F1C"/>
    <w:rsid w:val="45131232"/>
    <w:rsid w:val="454667B6"/>
    <w:rsid w:val="456D788A"/>
    <w:rsid w:val="45961716"/>
    <w:rsid w:val="45CA5863"/>
    <w:rsid w:val="462705C0"/>
    <w:rsid w:val="46405B25"/>
    <w:rsid w:val="46517AE3"/>
    <w:rsid w:val="466C06C8"/>
    <w:rsid w:val="46A27E61"/>
    <w:rsid w:val="46E2098A"/>
    <w:rsid w:val="477F61D9"/>
    <w:rsid w:val="47AA594C"/>
    <w:rsid w:val="47D93B3C"/>
    <w:rsid w:val="47E23F21"/>
    <w:rsid w:val="48343468"/>
    <w:rsid w:val="48A979B2"/>
    <w:rsid w:val="48B06F92"/>
    <w:rsid w:val="497C50C6"/>
    <w:rsid w:val="49FF5A15"/>
    <w:rsid w:val="4A4F27DB"/>
    <w:rsid w:val="4A58168F"/>
    <w:rsid w:val="4A7810B9"/>
    <w:rsid w:val="4A8F4985"/>
    <w:rsid w:val="4A934E3E"/>
    <w:rsid w:val="4B35377F"/>
    <w:rsid w:val="4B38326F"/>
    <w:rsid w:val="4B86447A"/>
    <w:rsid w:val="4BBF74EC"/>
    <w:rsid w:val="4BF74ED8"/>
    <w:rsid w:val="4CBD1D79"/>
    <w:rsid w:val="4D0E24D9"/>
    <w:rsid w:val="4D7C3876"/>
    <w:rsid w:val="4DB03590"/>
    <w:rsid w:val="4DE44FE8"/>
    <w:rsid w:val="4E1D5B7A"/>
    <w:rsid w:val="4E217FEA"/>
    <w:rsid w:val="4E515B58"/>
    <w:rsid w:val="4E5A52AA"/>
    <w:rsid w:val="4E8C5B16"/>
    <w:rsid w:val="4ED02686"/>
    <w:rsid w:val="4F196F13"/>
    <w:rsid w:val="4F2D310F"/>
    <w:rsid w:val="4F334479"/>
    <w:rsid w:val="4F3F40FA"/>
    <w:rsid w:val="4F6A0D1A"/>
    <w:rsid w:val="4F995545"/>
    <w:rsid w:val="4FEB08B0"/>
    <w:rsid w:val="50242014"/>
    <w:rsid w:val="503F1898"/>
    <w:rsid w:val="50447FC0"/>
    <w:rsid w:val="50485F71"/>
    <w:rsid w:val="504A1A7A"/>
    <w:rsid w:val="504D50C7"/>
    <w:rsid w:val="50890FCE"/>
    <w:rsid w:val="509727E6"/>
    <w:rsid w:val="50A70C7B"/>
    <w:rsid w:val="50BE5FC4"/>
    <w:rsid w:val="50D37CC2"/>
    <w:rsid w:val="50D52B97"/>
    <w:rsid w:val="50E7376D"/>
    <w:rsid w:val="513444D8"/>
    <w:rsid w:val="5166169E"/>
    <w:rsid w:val="51750D79"/>
    <w:rsid w:val="51FF6894"/>
    <w:rsid w:val="527A5F1B"/>
    <w:rsid w:val="52B17671"/>
    <w:rsid w:val="53775A75"/>
    <w:rsid w:val="539B083F"/>
    <w:rsid w:val="54DE6B11"/>
    <w:rsid w:val="55085C12"/>
    <w:rsid w:val="55110100"/>
    <w:rsid w:val="554967A4"/>
    <w:rsid w:val="55A35789"/>
    <w:rsid w:val="55C01AA6"/>
    <w:rsid w:val="55EB785C"/>
    <w:rsid w:val="563D3E2F"/>
    <w:rsid w:val="56586B46"/>
    <w:rsid w:val="566328EC"/>
    <w:rsid w:val="56764C4B"/>
    <w:rsid w:val="56BD287A"/>
    <w:rsid w:val="574D2BF4"/>
    <w:rsid w:val="57A27CE8"/>
    <w:rsid w:val="58386E8E"/>
    <w:rsid w:val="587716F7"/>
    <w:rsid w:val="58883419"/>
    <w:rsid w:val="589E4491"/>
    <w:rsid w:val="58C90D69"/>
    <w:rsid w:val="58F72073"/>
    <w:rsid w:val="59036C6A"/>
    <w:rsid w:val="590B5B1F"/>
    <w:rsid w:val="59AF294E"/>
    <w:rsid w:val="5A272E2C"/>
    <w:rsid w:val="5A350152"/>
    <w:rsid w:val="5ADE798F"/>
    <w:rsid w:val="5B661732"/>
    <w:rsid w:val="5BC25416"/>
    <w:rsid w:val="5BC30933"/>
    <w:rsid w:val="5C3E620B"/>
    <w:rsid w:val="5C910A31"/>
    <w:rsid w:val="5C9F6CAA"/>
    <w:rsid w:val="5D0134C1"/>
    <w:rsid w:val="5D2562F9"/>
    <w:rsid w:val="5DF11787"/>
    <w:rsid w:val="5E007C1C"/>
    <w:rsid w:val="5E0F60B1"/>
    <w:rsid w:val="5E527E8C"/>
    <w:rsid w:val="5E5B4E53"/>
    <w:rsid w:val="5E8E6FD6"/>
    <w:rsid w:val="5EEE216B"/>
    <w:rsid w:val="5F061262"/>
    <w:rsid w:val="5F1D2E7B"/>
    <w:rsid w:val="5F2C67EF"/>
    <w:rsid w:val="5FB567E4"/>
    <w:rsid w:val="5FC66C44"/>
    <w:rsid w:val="60172FFB"/>
    <w:rsid w:val="610A59A6"/>
    <w:rsid w:val="611F03B9"/>
    <w:rsid w:val="61860438"/>
    <w:rsid w:val="61B80F7A"/>
    <w:rsid w:val="61D059BD"/>
    <w:rsid w:val="61E214E9"/>
    <w:rsid w:val="620F60CA"/>
    <w:rsid w:val="62586279"/>
    <w:rsid w:val="626D15F8"/>
    <w:rsid w:val="62854B94"/>
    <w:rsid w:val="62A50D92"/>
    <w:rsid w:val="62F45876"/>
    <w:rsid w:val="634F611A"/>
    <w:rsid w:val="63C427FD"/>
    <w:rsid w:val="63DA2CBD"/>
    <w:rsid w:val="644F0FB6"/>
    <w:rsid w:val="64610CE9"/>
    <w:rsid w:val="64BA51BE"/>
    <w:rsid w:val="64CA4AE0"/>
    <w:rsid w:val="64F13154"/>
    <w:rsid w:val="65075D34"/>
    <w:rsid w:val="650C50F9"/>
    <w:rsid w:val="65257F68"/>
    <w:rsid w:val="6531219C"/>
    <w:rsid w:val="65403F01"/>
    <w:rsid w:val="65595543"/>
    <w:rsid w:val="658D448B"/>
    <w:rsid w:val="65C15EE3"/>
    <w:rsid w:val="65CE23AE"/>
    <w:rsid w:val="66080F1E"/>
    <w:rsid w:val="66116BAD"/>
    <w:rsid w:val="66214BD4"/>
    <w:rsid w:val="6659436D"/>
    <w:rsid w:val="66DB2FD4"/>
    <w:rsid w:val="66ED2D08"/>
    <w:rsid w:val="66F26570"/>
    <w:rsid w:val="66FB5425"/>
    <w:rsid w:val="670F7122"/>
    <w:rsid w:val="67472418"/>
    <w:rsid w:val="67843D3C"/>
    <w:rsid w:val="67BC2E06"/>
    <w:rsid w:val="67C43A69"/>
    <w:rsid w:val="67D34322"/>
    <w:rsid w:val="68010AE0"/>
    <w:rsid w:val="686A2E17"/>
    <w:rsid w:val="689735C0"/>
    <w:rsid w:val="694C5701"/>
    <w:rsid w:val="69561038"/>
    <w:rsid w:val="69576763"/>
    <w:rsid w:val="69671655"/>
    <w:rsid w:val="697A410B"/>
    <w:rsid w:val="69A13E27"/>
    <w:rsid w:val="69AD2C9D"/>
    <w:rsid w:val="69FB28AF"/>
    <w:rsid w:val="6A2625BF"/>
    <w:rsid w:val="6A6634FD"/>
    <w:rsid w:val="6AE126C6"/>
    <w:rsid w:val="6AF1726A"/>
    <w:rsid w:val="6B0A032C"/>
    <w:rsid w:val="6B376C47"/>
    <w:rsid w:val="6B39476E"/>
    <w:rsid w:val="6C236E29"/>
    <w:rsid w:val="6C7D068A"/>
    <w:rsid w:val="6C8666CB"/>
    <w:rsid w:val="6CE7260C"/>
    <w:rsid w:val="6D317DF2"/>
    <w:rsid w:val="6D613EE1"/>
    <w:rsid w:val="6E056B89"/>
    <w:rsid w:val="6E283171"/>
    <w:rsid w:val="6E7A30D3"/>
    <w:rsid w:val="6F0244CC"/>
    <w:rsid w:val="6F215C44"/>
    <w:rsid w:val="6F435BBB"/>
    <w:rsid w:val="6F806E0F"/>
    <w:rsid w:val="6FF2313D"/>
    <w:rsid w:val="70877D29"/>
    <w:rsid w:val="709661BE"/>
    <w:rsid w:val="70BD374B"/>
    <w:rsid w:val="71662034"/>
    <w:rsid w:val="717C2845"/>
    <w:rsid w:val="71CD3E62"/>
    <w:rsid w:val="71F87130"/>
    <w:rsid w:val="724203AC"/>
    <w:rsid w:val="72600832"/>
    <w:rsid w:val="728E7110"/>
    <w:rsid w:val="72D51220"/>
    <w:rsid w:val="72E90827"/>
    <w:rsid w:val="72F316A6"/>
    <w:rsid w:val="731E1289"/>
    <w:rsid w:val="733128BB"/>
    <w:rsid w:val="73ED2599"/>
    <w:rsid w:val="74204A4D"/>
    <w:rsid w:val="7431692A"/>
    <w:rsid w:val="744D3038"/>
    <w:rsid w:val="74732A9E"/>
    <w:rsid w:val="747A5B1A"/>
    <w:rsid w:val="74887696"/>
    <w:rsid w:val="754C32EF"/>
    <w:rsid w:val="75706FDE"/>
    <w:rsid w:val="758F4FC4"/>
    <w:rsid w:val="75CD1995"/>
    <w:rsid w:val="75D94C4A"/>
    <w:rsid w:val="760861AC"/>
    <w:rsid w:val="761738FD"/>
    <w:rsid w:val="7635753F"/>
    <w:rsid w:val="76C770D1"/>
    <w:rsid w:val="76EF5CAD"/>
    <w:rsid w:val="772960B5"/>
    <w:rsid w:val="77D25D2E"/>
    <w:rsid w:val="78402C6D"/>
    <w:rsid w:val="785A1CD5"/>
    <w:rsid w:val="7860158C"/>
    <w:rsid w:val="78964FAD"/>
    <w:rsid w:val="78E026CC"/>
    <w:rsid w:val="795F1843"/>
    <w:rsid w:val="796933E0"/>
    <w:rsid w:val="79A25BD4"/>
    <w:rsid w:val="79E955B1"/>
    <w:rsid w:val="7A13262E"/>
    <w:rsid w:val="7A24440C"/>
    <w:rsid w:val="7AA00365"/>
    <w:rsid w:val="7ACB78B2"/>
    <w:rsid w:val="7B424F78"/>
    <w:rsid w:val="7B5A135B"/>
    <w:rsid w:val="7B7406C4"/>
    <w:rsid w:val="7B7A5656"/>
    <w:rsid w:val="7BC57958"/>
    <w:rsid w:val="7BC938EC"/>
    <w:rsid w:val="7BD8192A"/>
    <w:rsid w:val="7C044924"/>
    <w:rsid w:val="7C1C34E2"/>
    <w:rsid w:val="7C51472B"/>
    <w:rsid w:val="7C6559F4"/>
    <w:rsid w:val="7CA852AF"/>
    <w:rsid w:val="7CAB4D9F"/>
    <w:rsid w:val="7CCC3693"/>
    <w:rsid w:val="7CD223CC"/>
    <w:rsid w:val="7CDB7267"/>
    <w:rsid w:val="7CFC4B9D"/>
    <w:rsid w:val="7D2C4132"/>
    <w:rsid w:val="7D3D00ED"/>
    <w:rsid w:val="7DA0242A"/>
    <w:rsid w:val="7DA168CE"/>
    <w:rsid w:val="7DF74740"/>
    <w:rsid w:val="7DFF53A3"/>
    <w:rsid w:val="7ECD54A1"/>
    <w:rsid w:val="7F4A08A0"/>
    <w:rsid w:val="7F4F5EB6"/>
    <w:rsid w:val="7F582C7C"/>
    <w:rsid w:val="7F587460"/>
    <w:rsid w:val="7F9651F2"/>
    <w:rsid w:val="7F9F508F"/>
    <w:rsid w:val="7FA335D0"/>
    <w:rsid w:val="7FAE7080"/>
    <w:rsid w:val="BF44DA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sz w:val="28"/>
    </w:rPr>
  </w:style>
  <w:style w:type="paragraph" w:styleId="4">
    <w:name w:val="Body Text Indent"/>
    <w:basedOn w:val="1"/>
    <w:qFormat/>
    <w:uiPriority w:val="0"/>
    <w:pPr>
      <w:spacing w:before="120" w:after="120"/>
      <w:ind w:firstLine="480"/>
    </w:pPr>
    <w:rPr>
      <w:rFonts w:ascii="宋体" w:hAnsi="宋体"/>
      <w:sz w:val="24"/>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3"/>
    <w:next w:val="7"/>
    <w:qFormat/>
    <w:uiPriority w:val="0"/>
    <w:pPr>
      <w:widowControl w:val="0"/>
      <w:spacing w:before="260" w:after="120" w:line="415" w:lineRule="auto"/>
      <w:ind w:firstLine="420" w:firstLineChars="100"/>
      <w:jc w:val="both"/>
    </w:pPr>
    <w:rPr>
      <w:rFonts w:ascii="Times New Roman" w:hAnsi="Times New Roman" w:eastAsia="仿宋" w:cs="Times New Roman"/>
      <w:kern w:val="2"/>
      <w:sz w:val="32"/>
      <w:szCs w:val="24"/>
      <w:lang w:val="en-US" w:eastAsia="zh-CN" w:bidi="ar-SA"/>
    </w:rPr>
  </w:style>
  <w:style w:type="paragraph" w:styleId="7">
    <w:name w:val="Body Text First Indent 2"/>
    <w:basedOn w:val="4"/>
    <w:next w:val="6"/>
    <w:qFormat/>
    <w:uiPriority w:val="0"/>
    <w:pPr>
      <w:widowControl w:val="0"/>
      <w:ind w:left="0" w:leftChars="0" w:firstLine="420" w:firstLineChars="200"/>
      <w:jc w:val="both"/>
    </w:pPr>
    <w:rPr>
      <w:rFonts w:ascii="Calibri" w:hAnsi="Calibri" w:eastAsia="仿宋" w:cs="Times New Roman"/>
      <w:kern w:val="2"/>
      <w:sz w:val="32"/>
      <w:szCs w:val="24"/>
      <w:lang w:val="en-US" w:eastAsia="zh-CN" w:bidi="ar-SA"/>
    </w:rPr>
  </w:style>
  <w:style w:type="character" w:styleId="10">
    <w:name w:val="Strong"/>
    <w:basedOn w:val="9"/>
    <w:qFormat/>
    <w:uiPriority w:val="0"/>
    <w:rPr>
      <w:b/>
    </w:rPr>
  </w:style>
  <w:style w:type="paragraph" w:customStyle="1" w:styleId="11">
    <w:name w:val="正文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12">
    <w:name w:val="正文文本 New"/>
    <w:basedOn w:val="13"/>
    <w:qFormat/>
    <w:uiPriority w:val="0"/>
    <w:rPr>
      <w:rFonts w:ascii="Calibri" w:hAnsi="Calibri" w:cs="Calibri"/>
      <w:b/>
      <w:i/>
      <w:iCs/>
      <w:color w:val="000000"/>
      <w:sz w:val="18"/>
      <w:szCs w:val="22"/>
    </w:rPr>
  </w:style>
  <w:style w:type="paragraph" w:customStyle="1" w:styleId="13">
    <w:name w:val="正文 New"/>
    <w:next w:val="12"/>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1632</Words>
  <Characters>1790</Characters>
  <Lines>0</Lines>
  <Paragraphs>0</Paragraphs>
  <TotalTime>1</TotalTime>
  <ScaleCrop>false</ScaleCrop>
  <LinksUpToDate>false</LinksUpToDate>
  <CharactersWithSpaces>1808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2021-11-11T10:43:00Z</dcterms:created>
  <dc:creator>PC-admin</dc:creator>
  <cp:lastModifiedBy>木鱼</cp:lastModifiedBy>
  <cp:lastPrinted>2022-06-28T04:15:00Z</cp:lastPrinted>
  <dcterms:modified xsi:type="dcterms:W3CDTF">2022-11-23T04:54:09Z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B8AE24B3B2BB4020ADADE6C5FC640CCC</vt:lpwstr>
  </property>
</Properties>
</file>